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  <w:spacing w:after="120" w:line="276" w:lineRule="auto"/>
      </w:pPr>
      <w:r>
        <w:rPr>
          <w:b/>
          <w:bCs/>
          <w:sz w:val="48"/>
          <w:szCs w:val="48"/>
        </w:rPr>
        <w:t>Registre des activités de traitement</w:t>
      </w:r>
    </w:p>
    <w:p>
      <w:r>
        <w:br/>
        <w:t xml:space="preserve">    Responsable de traitement : </w:t>
      </w:r>
      <w:r>
        <w:rPr>
          <w:b/>
          <w:bCs/>
        </w:rPr>
        <w:t>Boulangerie Maison Dupont</w:t>
      </w:r>
      <w:r>
        <w:br/>
        <w:t xml:space="preserve">    (12 rue des Halles, 44000 Nantes)</w:t>
      </w:r>
      <w:r>
        <w:br/>
      </w:r>
      <w:r>
        <w:br/>
        <w:t xml:space="preserve">    Contact : </w:t>
      </w:r>
      <w:r>
        <w:t>contact@boulangerie-maison-dupont.fr</w:t>
      </w:r>
      <w:r>
        <w:br/>
      </w:r>
      <w:r>
        <w:br/>
        <w:t xml:space="preserve">    Site concerné : </w:t>
      </w:r>
      <w:r>
        <w:t>https://boulangerie-maison-dupont.fr</w:t>
      </w:r>
      <w:r>
        <w:t xml:space="preserve"> —</w:t>
        <w:br/>
        <w:t xml:space="preserve">    registre établi le 22/08/2026.</w:t>
        <w:br/>
      </w:r>
    </w:p>
    <w:p>
      <w:r>
        <w:rPr>
          <w:b/>
          <w:bCs/>
        </w:rPr>
        <w:t>Document interne — à ne pas publier sur le site.</w:t>
      </w:r>
      <w:r>
        <w:br/>
        <w:t xml:space="preserve">    Ce registre doit être conservé, tenu à jour et présenté à la CNIL en cas de</w:t>
        <w:br/>
        <w:t xml:space="preserve">    contrôle. Il est pré-rempli à partir des fonctionnalités détectées sur votre site :</w:t>
        <w:br/>
        <w:t xml:space="preserve">    complétez-le selon votre organisation réelle.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1. Cadre et obligation</w:t>
      </w:r>
    </w:p>
    <w:p>
      <w:r>
        <w:br/>
        <w:t xml:space="preserve">    L'article 30 du RGPD oblige chaque responsable de traitement à tenir un registre</w:t>
        <w:br/>
        <w:t xml:space="preserve">    des activités de traitement effectuées sous sa responsabilité. Les organisations</w:t>
        <w:br/>
        <w:t xml:space="preserve">    de moins de 250 salariés en sont dispensées uniquement si leurs traitements sont</w:t>
        <w:br/>
        <w:t xml:space="preserve">    occasionnels, sans risque et sans données sensibles — or un site qui collecte en</w:t>
        <w:br/>
        <w:t xml:space="preserve">    continu (formulaire de contact, newsletter, commandes…) relève de traitements</w:t>
        <w:br/>
        <w:t xml:space="preserve">    </w:t>
      </w:r>
      <w:r>
        <w:rPr>
          <w:i/>
          <w:iCs/>
        </w:rPr>
        <w:t>non occasionnels</w:t>
      </w:r>
      <w:r>
        <w:t>. La CNIL recommande donc la tenue d'un registre à toutes</w:t>
        <w:br/>
        <w:t xml:space="preserve">    les structures, quelle que soit leur taille.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2. Traitements recensés</w:t>
      </w:r>
    </w:p>
    <w:p>
      <w:pPr>
        <w:pStyle w:val="Heading3"/>
        <w:spacing w:after="120" w:line="276" w:lineRule="auto"/>
      </w:pPr>
      <w:r>
        <w:rPr>
          <w:b/>
          <w:bCs/>
          <w:sz w:val="32"/>
          <w:szCs w:val="32"/>
        </w:rPr>
        <w:t>Traitement n°1 — Hébergement et maintenance technique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680"/>
        <w:gridCol w:w="4680"/>
      </w:tblGrid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Finalité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Assurer l'hébergement, la sécurité et le bon fonctionnement du site (journaux techniques).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Base légale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Intérêt légitime (art. 6.1.f) — sécurité du système d'information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Catégories de données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Adresses IP, journaux de connexion et d'erreur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Personnes concernées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Visiteurs du site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Destinataires / sous-traitants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Hébergeur : o2switch SAS (sous-traitant)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Durée de conservation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12 mois pour les journaux de connexion (recommandation CNIL)</w:t>
            </w:r>
          </w:p>
        </w:tc>
      </w:tr>
    </w:tbl>
    <w:p>
      <w:pPr>
        <w:pStyle w:val="Heading3"/>
        <w:spacing w:after="120" w:line="276" w:lineRule="auto"/>
      </w:pPr>
      <w:r>
        <w:rPr>
          <w:b/>
          <w:bCs/>
          <w:sz w:val="32"/>
          <w:szCs w:val="32"/>
        </w:rPr>
        <w:t>Traitement n°2 — Gestion des commandes et du paiement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680"/>
        <w:gridCol w:w="4680"/>
      </w:tblGrid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Finalité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Traitement des commandes, livraison, facturation et suivi comptable.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Base légale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Exécution du contrat (art. 6.1.b) et obligations légales (art. 6.1.c)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Catégories de données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Identité, coordonnées de livraison et de facturation, détail des commandes, références de paiement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Personnes concernées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Clients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Destinataires / sous-traitants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Éditeur ; prestataire de paiement (sous-traitant) ; hébergeur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Durée de conservation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10 ans pour les pièces comptables (art. L123-22 du Code de commerce)</w:t>
            </w:r>
          </w:p>
        </w:tc>
      </w:tr>
    </w:tbl>
    <w:p>
      <w:pPr>
        <w:pStyle w:val="Heading3"/>
        <w:spacing w:after="120" w:line="276" w:lineRule="auto"/>
      </w:pPr>
      <w:r>
        <w:rPr>
          <w:b/>
          <w:bCs/>
          <w:sz w:val="32"/>
          <w:szCs w:val="32"/>
        </w:rPr>
        <w:t>Traitement n°3 — Gestion des demandes via le formulaire de contact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680"/>
        <w:gridCol w:w="4680"/>
      </w:tblGrid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Finalité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Répondre aux demandes d'information envoyées depuis le site.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Base légale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Mesures précontractuelles (art. 6.1.b) / intérêt légitime (art. 6.1.f)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Catégories de données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Identité (nom), coordonnées (e-mail, téléphone), contenu du message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Personnes concernées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Visiteurs, prospects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Destinataires / sous-traitants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Éditeur ; hébergeur (sous-traitant)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Durée de conservation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12 mois à compter du dernier échange</w:t>
            </w:r>
          </w:p>
        </w:tc>
      </w:tr>
    </w:tbl>
    <w:p>
      <w:pPr>
        <w:pStyle w:val="Heading3"/>
        <w:spacing w:after="120" w:line="276" w:lineRule="auto"/>
      </w:pPr>
      <w:r>
        <w:rPr>
          <w:b/>
          <w:bCs/>
          <w:sz w:val="32"/>
          <w:szCs w:val="32"/>
        </w:rPr>
        <w:t>Traitement n°4 — Mesure d'audience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680"/>
        <w:gridCol w:w="4680"/>
      </w:tblGrid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Finalité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Statistiques de fréquentation et amélioration du site.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Base légale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Consentement (art. 6.1.a et art. 82 de la loi Informatique et Libertés) — sauf outil exempté configuré selon les critères de la CNIL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Catégories de données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Données de navigation pseudonymisées (pages vues, provenance, appareil)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Personnes concernées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Visiteurs du site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Destinataires / sous-traitants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Éditeur ; Outil d'analyse détecté (à préciser) (sous-traitant)</w:t>
            </w:r>
          </w:p>
        </w:tc>
      </w:tr>
      <w:tr>
        <w:trPr>
          <w:tblHeader/>
        </w:trPr>
        <w:tc>
          <w:tcPr>
            <w:tcW w:w="4680" w:type="dxa"/>
          </w:tcPr>
          <w:p>
            <w:r>
              <w:rPr>
                <w:b/>
                <w:bCs/>
              </w:rPr>
              <w:t>Durée de conservation</w:t>
            </w:r>
          </w:p>
        </w:tc>
        <w:tc>
          <w:tcPr>
            <w:tcW w:w="4680" w:type="dxa"/>
          </w:tcPr>
          <w:p>
            <w:r>
              <w:rPr>
                <w:b/>
                <w:bCs/>
              </w:rPr>
              <w:t>Cookies : 13 mois maximum ; données collectées : 25 mois maximum (recommandations CNIL)</w:t>
            </w:r>
          </w:p>
        </w:tc>
      </w:tr>
    </w:tbl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3. Mesures de sécurité</w:t>
      </w:r>
    </w:p>
    <w:p>
      <w:r>
        <w:t>Site servi en HTTPS (certificat TLS valide) ;</w:t>
        <w:br/>
        <w:t xml:space="preserve">    mots de passe forts et accès d'administration restreints aux personnes habilitées ;</w:t>
        <w:br/>
        <w:t xml:space="preserve">    mises à jour régulières du CMS, des extensions et du serveur ;</w:t>
        <w:br/>
        <w:t xml:space="preserve">    sauvegardes régulières du site et de sa base de données ;</w:t>
        <w:br/>
        <w:t xml:space="preserve">    contrats ou clauses de sous-traitance avec l'hébergeur et les prestataires (art. 28 RGPD).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4. Violations de données personnelles</w:t>
      </w:r>
    </w:p>
    <w:p>
      <w:r>
        <w:br/>
        <w:t xml:space="preserve">    En cas de violation de données (perte, vol, accès non autorisé…), le responsable</w:t>
        <w:br/>
        <w:t xml:space="preserve">    de traitement doit la documenter et, si elle présente un risque pour les personnes,</w:t>
        <w:br/>
        <w:t xml:space="preserve">    la notifier à la CNIL dans les 72 heures (art. 33 RGPD) ; les personnes concernées</w:t>
        <w:br/>
        <w:t xml:space="preserve">    doivent être informées si le risque est élevé (art. 34 RGPD).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5. Exercice des droits</w:t>
      </w:r>
    </w:p>
    <w:p>
      <w:r>
        <w:br/>
        <w:t xml:space="preserve">    Les personnes peuvent exercer leurs droits (accès, rectification, effacement,</w:t>
        <w:br/>
        <w:t xml:space="preserve">    opposition, portabilité) auprès de</w:t>
        <w:br/>
        <w:t xml:space="preserve">    </w:t>
      </w:r>
      <w:r>
        <w:t>contact@boulangerie-maison-dupont.fr</w:t>
      </w:r>
      <w:r>
        <w:t>.</w:t>
        <w:br/>
        <w:t xml:space="preserve">    La procédure est décrite dans la politique de confidentialité du site.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6. Mise à jour du registre</w:t>
      </w:r>
    </w:p>
    <w:p>
      <w:r>
        <w:br/>
        <w:t xml:space="preserve">    Ce registre doit être revu au moins une fois par an et à chaque évolution du site</w:t>
        <w:br/>
        <w:t xml:space="preserve">    (nouvelle fonctionnalité, nouvel outil, changement d'hébergeur ou de prestataire).</w:t>
        <w:br/>
      </w:r>
    </w:p>
    <w:p>
      <w:r>
        <w:br/>
        <w:t xml:space="preserve">        Modèle documentaire généré par MonKitLégal — ne constitue pas une consultation juridique.</w:t>
        <w:br/>
        <w:t xml:space="preserve">        Seul un professionnel du droit peut apprécier votre situation particulière.</w:t>
        <w:br/>
        <w:t xml:space="preserve">    </w:t>
      </w:r>
    </w:p>
    <w:p>
      <w:r>
        <w:br/>
        <w:t xml:space="preserve">        Version du pack : 1.2.0        — document généré le 22/08/2026.</w:t>
        <w:br/>
        <w:t xml:space="preserve">        Pensez à vérifier régulièrement l'évolution des textes applicables.</w:t>
        <w:br/>
        <w:t xml:space="preserve">    </w:t>
      </w:r>
    </w:p>
    <w:sectPr>
      <w:pgSz w:w="12240" w:h="15840"/>
      <w:pgMar w:top="1440" w:right="1440" w:bottom="1440" w:left="1440" w:header="720" w:footer="720" w:gutter="0"/>
    </w:sectPr>
  </w:body>
</w:document>
</file>

<file path=word/numbering.xml><?xml version="1.0" encoding="utf-8"?>
<w:numbering xmlns:w="http://schemas.openxmlformats.org/wordprocessingml/2006/main">
  <w:abstractNum w:abstractNumId="1"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440" w:hanging="360"/>
      </w:pPr>
    </w:lvl>
    <w:lvl w:ilvl="3">
      <w:start w:val="1"/>
      <w:numFmt w:val="bullet"/>
      <w:lvlText w:val="•"/>
      <w:lvlJc w:val="left"/>
      <w:pPr>
        <w:ind w:left="1800" w:hanging="360"/>
      </w:pPr>
    </w:lvl>
    <w:lvl w:ilvl="4">
      <w:start w:val="1"/>
      <w:numFmt w:val="bullet"/>
      <w:lvlText w:val="o"/>
      <w:lvlJc w:val="left"/>
      <w:pPr>
        <w:ind w:left="2160" w:hanging="360"/>
      </w:pPr>
    </w:lvl>
    <w:lvl w:ilvl="5">
      <w:start w:val="1"/>
      <w:numFmt w:val="bullet"/>
      <w:lvlText w:val="▪"/>
      <w:lvlJc w:val="left"/>
      <w:pPr>
        <w:ind w:left="2520" w:hanging="360"/>
      </w:pPr>
    </w:lvl>
    <w:lvl w:ilvl="6">
      <w:start w:val="1"/>
      <w:numFmt w:val="bullet"/>
      <w:lvlText w:val="•"/>
      <w:lvlJc w:val="left"/>
      <w:pPr>
        <w:ind w:left="2880" w:hanging="360"/>
      </w:pPr>
    </w:lvl>
    <w:lvl w:ilvl="7">
      <w:start w:val="1"/>
      <w:numFmt w:val="bullet"/>
      <w:lvlText w:val="o"/>
      <w:lvlJc w:val="left"/>
      <w:pPr>
        <w:ind w:left="3240" w:hanging="360"/>
      </w:pPr>
    </w:lvl>
    <w:lvl w:ilvl="8">
      <w:start w:val="1"/>
      <w:numFmt w:val="bullet"/>
      <w:lvlText w:val="▪"/>
      <w:lvlJc w:val="left"/>
      <w:pPr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</w:numbering>
</file>

<file path=word/styles.xml><?xml version="1.0" encoding="utf-8"?>
<w:styles xmlns:w="http://schemas.openxmlformats.org/wordprocessingml/2006/main">
  <w:docDefaults>
    <w:rPrDefault>
      <w:rPr>
        <w:rFonts w:ascii="Calibri" w:hAnsi="Calibri" w:cs="Calibri"/>
        <w:sz w:val="22"/>
        <w:szCs w:val="22"/>
      </w:rPr>
    </w:rPrDefault>
    <w:pPrDefault>
      <w:pPr>
        <w:spacing w:after="160" w:line="259" w:lineRule="auto"/>
      </w:pPr>
    </w:pPrDefault>
  </w:docDefault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keepLines/>
      <w:spacing w:before="240" w:after="220"/>
      <w:outlineLvl w:val="0"/>
    </w:pPr>
    <w:rPr>
      <w:b/>
      <w:bCs/>
      <w:color w:val="2F549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220"/>
      <w:outlineLvl w:val="1"/>
    </w:pPr>
    <w:rPr>
      <w:b/>
      <w:bCs/>
      <w:color w:val="2F5496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keepLines/>
      <w:spacing w:before="240" w:after="220"/>
      <w:outlineLvl w:val="2"/>
    </w:pPr>
    <w:rPr>
      <w:b/>
      <w:bCs/>
      <w:color w:val="1F3763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220"/>
      <w:outlineLvl w:val="3"/>
    </w:pPr>
    <w:rPr>
      <w:b/>
      <w:bCs/>
      <w:color w:val="2F5496"/>
      <w:sz w:val="22"/>
      <w:szCs w:val="22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220"/>
      <w:outlineLvl w:val="4"/>
    </w:pPr>
    <w:rPr>
      <w:b/>
      <w:bCs/>
      <w:color w:val="2F5496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220"/>
      <w:outlineLvl w:val="5"/>
    </w:pPr>
    <w:rPr>
      <w:b/>
      <w:bCs/>
      <w:color w:val="1F3763"/>
      <w:sz w:val="22"/>
      <w:szCs w:val="22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Quote">
    <w:name w:val="Quote"/>
    <w:basedOn w:val="Normal"/>
    <w:qFormat/>
    <w:pPr>
      <w:spacing w:before="120" w:after="120"/>
      <w:ind w:left="720"/>
    </w:pPr>
    <w:rPr>
      <w:i/>
      <w:iCs/>
      <w:color w:val="404040"/>
    </w:rPr>
  </w:style>
  <w:style w:type="paragraph" w:styleId="Code">
    <w:name w:val="Code"/>
    <w:basedOn w:val="Normal"/>
    <w:qFormat/>
    <w:pPr>
      <w:spacing w:before="0" w:after="0"/>
      <w:shd w:val="clear" w:color="auto" w:fill="F3F4F6"/>
    </w:pPr>
    <w:rPr>
      <w:rFonts w:ascii="Consolas" w:hAnsi="Consolas" w:cs="Consolas"/>
      <w:sz w:val="20"/>
    </w:rPr>
  </w:style>
  <w:style w:type="character" w:styleId="Hyperlink">
    <w:name w:val="Hyperlink"/>
    <w:rPr>
      <w:color w:val="0563C1"/>
      <w:u w:val="single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Numbering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Paperdoc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Registre des activités de traitement — Boulangerie Maison Dupont</dc:title>
  <dc:creator>Paperdoc</dc:creator>
  <cp:lastModifiedBy>Paperdoc</cp:lastModifiedBy>
  <dcterms:created xsi:type="dcterms:W3CDTF">2026-08-22T16:36:00Z</dcterms:created>
  <dcterms:modified xsi:type="dcterms:W3CDTF">2026-08-22T16:36:00Z</dcterms:modified>
</cp:coreProperties>
</file>