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  <w:spacing w:after="120" w:line="276" w:lineRule="auto"/>
      </w:pPr>
      <w:r>
        <w:rPr>
          <w:b/>
          <w:bCs/>
          <w:sz w:val="48"/>
          <w:szCs w:val="48"/>
        </w:rPr>
        <w:t>Checklist de mise en conformité</w:t>
      </w:r>
    </w:p>
    <w:p>
      <w:r>
        <w:br/>
        <w:t xml:space="preserve">    Site : </w:t>
      </w:r>
      <w:r>
        <w:rPr>
          <w:b/>
          <w:bCs/>
        </w:rPr>
        <w:t>Boulangerie Maison Dupont</w:t>
      </w:r>
      <w:r>
        <w:br/>
        <w:t xml:space="preserve">    (</w:t>
      </w:r>
      <w:r>
        <w:t>https://boulangerie-maison-dupont.fr</w:t>
      </w:r>
      <w:r>
        <w:t>) —</w:t>
        <w:br/>
        <w:t xml:space="preserve">    générée le 22/08/2026.</w:t>
        <w:br/>
      </w:r>
    </w:p>
    <w:p>
      <w:r>
        <w:br/>
        <w:t xml:space="preserve">    Cette checklist récapitule les documents inclus dans votre kit et les actions</w:t>
        <w:br/>
        <w:t xml:space="preserve">    techniques qu'il vous reste à réaliser. Elle est indicative : chaque situation</w:t>
        <w:br/>
        <w:t xml:space="preserve">    peut comporter des particularités.</w:t>
        <w:br/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1. Documents générés</w:t>
      </w:r>
    </w:p>
    <w:p>
      <w:r>
        <w:t xml:space="preserve">☑ Mentions légales    </w:t>
        <w:br/>
        <w:t xml:space="preserve">    ☑ Politique de confidentialité            </w:t>
        <w:br/>
        <w:t xml:space="preserve">        ☑ Conditions générales de vente (avec rétractation et médiation)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2. Publication sur le site</w:t>
      </w:r>
    </w:p>
    <w:p>
      <w:r>
        <w:t xml:space="preserve">☐ Publier les mentions légales sur une page dédiée — lien visible depuis chaque page du site (pied de page recommandé)    </w:t>
        <w:br/>
        <w:t xml:space="preserve">    ☐ Publier la politique de confidentialité — accessible depuis chaque page et depuis tout formulaire de collecte    ☐ Publier les CGV — le client doit pouvoir les accepter avant la commande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3. Points techniques</w:t>
      </w:r>
    </w:p>
    <w:p>
      <w:r>
        <w:t xml:space="preserve">☐ Installer le bandeau de consentement aux cookies — code prêt à coller dans le document « bandeau-cookies » de ce kit ; aucun traceur non essentiel avant consentement        ☐ Vérifier le blocage préalable des traceurs — tester votre site dans un navigateur en navigation privée                </w:t>
        <w:br/>
        <w:t xml:space="preserve">        ☐ Ajouter une mention d'information sous chaque formulaire — renvoyer vers la politique de confidentialité                </w:t>
        <w:br/>
        <w:t xml:space="preserve">        ☐ Afficher le médiateur de la consommation dans les CGV publiées — déjà mentionné dans vos CGV — vérifier qu'il est bien celui auquel vous êtes affilié        </w:t>
        <w:br/>
        <w:t xml:space="preserve">        ☐ Vérifier les informations précontractuelles — caractéristiques essentielles, prix TTC, délais, rétractation visibles avant paiement</w:t>
      </w:r>
    </w:p>
    <w:p>
      <w:pPr>
        <w:pStyle w:val="Heading2"/>
        <w:spacing w:after="120" w:line="276" w:lineRule="auto"/>
      </w:pPr>
      <w:r>
        <w:rPr>
          <w:b/>
          <w:bCs/>
          <w:sz w:val="40"/>
          <w:szCs w:val="40"/>
        </w:rPr>
        <w:t>4. Suivi</w:t>
      </w:r>
    </w:p>
    <w:p>
      <w:r>
        <w:t>☐ Relire et mettre à jour les documents au moins une fois par an — et à chaque évolution du site (nouvelle collecte, nouvel outil, changement d'hébergeur)    ☐ Conserver ce kit et sa version — version du pack : 1.2.0</w:t>
      </w:r>
    </w:p>
    <w:p>
      <w:r>
        <w:br/>
        <w:t xml:space="preserve">        Modèle documentaire généré par MonKitLégal — ne constitue pas une consultation juridique.</w:t>
        <w:br/>
        <w:t xml:space="preserve">        Seul un professionnel du droit peut apprécier votre situation particulière.</w:t>
        <w:br/>
        <w:t xml:space="preserve">    </w:t>
      </w:r>
    </w:p>
    <w:p>
      <w:r>
        <w:br/>
        <w:t xml:space="preserve">        Version du pack : 1.2.0        — document généré le 22/08/2026.</w:t>
        <w:br/>
        <w:t xml:space="preserve">        Pensez à vérifier régulièrement l'évolution des textes applicables.</w:t>
        <w:br/>
        <w:t xml:space="preserve">    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080" w:hanging="360"/>
      </w:pPr>
    </w:lvl>
    <w:lvl w:ilvl="2">
      <w:start w:val="1"/>
      <w:numFmt w:val="bullet"/>
      <w:lvlText w:val="▪"/>
      <w:lvlJc w:val="left"/>
      <w:pPr>
        <w:ind w:left="1440" w:hanging="360"/>
      </w:pPr>
    </w:lvl>
    <w:lvl w:ilvl="3">
      <w:start w:val="1"/>
      <w:numFmt w:val="bullet"/>
      <w:lvlText w:val="•"/>
      <w:lvlJc w:val="left"/>
      <w:pPr>
        <w:ind w:left="1800" w:hanging="360"/>
      </w:pPr>
    </w:lvl>
    <w:lvl w:ilvl="4">
      <w:start w:val="1"/>
      <w:numFmt w:val="bullet"/>
      <w:lvlText w:val="o"/>
      <w:lvlJc w:val="left"/>
      <w:pPr>
        <w:ind w:left="2160" w:hanging="360"/>
      </w:pPr>
    </w:lvl>
    <w:lvl w:ilvl="5">
      <w:start w:val="1"/>
      <w:numFmt w:val="bullet"/>
      <w:lvlText w:val="▪"/>
      <w:lvlJc w:val="left"/>
      <w:pPr>
        <w:ind w:left="2520" w:hanging="360"/>
      </w:pPr>
    </w:lvl>
    <w:lvl w:ilvl="6">
      <w:start w:val="1"/>
      <w:numFmt w:val="bullet"/>
      <w:lvlText w:val="•"/>
      <w:lvlJc w:val="left"/>
      <w:pPr>
        <w:ind w:left="2880" w:hanging="360"/>
      </w:pPr>
    </w:lvl>
    <w:lvl w:ilvl="7">
      <w:start w:val="1"/>
      <w:numFmt w:val="bullet"/>
      <w:lvlText w:val="o"/>
      <w:lvlJc w:val="left"/>
      <w:pPr>
        <w:ind w:left="3240" w:hanging="360"/>
      </w:pPr>
    </w:lvl>
    <w:lvl w:ilvl="8">
      <w:start w:val="1"/>
      <w:numFmt w:val="bullet"/>
      <w:lvlText w:val="▪"/>
      <w:lvlJc w:val="left"/>
      <w:pPr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keepLines/>
      <w:spacing w:before="240" w:after="220"/>
      <w:outlineLvl w:val="0"/>
    </w:pPr>
    <w:rPr>
      <w:b/>
      <w:bCs/>
      <w:color w:val="2F549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220"/>
      <w:outlineLvl w:val="1"/>
    </w:pPr>
    <w:rPr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220"/>
      <w:outlineLvl w:val="2"/>
    </w:pPr>
    <w:rPr>
      <w:b/>
      <w:bCs/>
      <w:color w:val="1F3763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220"/>
      <w:outlineLvl w:val="3"/>
    </w:pPr>
    <w:rPr>
      <w:b/>
      <w:bCs/>
      <w:color w:val="2F5496"/>
      <w:sz w:val="22"/>
      <w:szCs w:val="22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220"/>
      <w:outlineLvl w:val="4"/>
    </w:pPr>
    <w:rPr>
      <w:b/>
      <w:bCs/>
      <w:color w:val="2F5496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220"/>
      <w:outlineLvl w:val="5"/>
    </w:pPr>
    <w:rPr>
      <w:b/>
      <w:bCs/>
      <w:color w:val="1F3763"/>
      <w:sz w:val="22"/>
      <w:szCs w:val="22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Quote">
    <w:name w:val="Quote"/>
    <w:basedOn w:val="Normal"/>
    <w:qFormat/>
    <w:pPr>
      <w:spacing w:before="120" w:after="120"/>
      <w:ind w:left="720"/>
    </w:pPr>
    <w:rPr>
      <w:i/>
      <w:iCs/>
      <w:color w:val="404040"/>
    </w:rPr>
  </w:style>
  <w:style w:type="paragraph" w:styleId="Code">
    <w:name w:val="Code"/>
    <w:basedOn w:val="Normal"/>
    <w:qFormat/>
    <w:pPr>
      <w:spacing w:before="0" w:after="0"/>
      <w:shd w:val="clear" w:color="auto" w:fill="F3F4F6"/>
    </w:pPr>
    <w:rPr>
      <w:rFonts w:ascii="Consolas" w:hAnsi="Consolas" w:cs="Consolas"/>
      <w:sz w:val="20"/>
    </w:rPr>
  </w:style>
  <w:style w:type="character" w:styleId="Hyperlink">
    <w:name w:val="Hyperlink"/>
    <w:rPr>
      <w:color w:val="0563C1"/>
      <w:u w:val="single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Numbering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Paperdoc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Checklist de mise en conformité — Boulangerie Maison Dupont</dc:title>
  <dc:creator>Paperdoc</dc:creator>
  <cp:lastModifiedBy>Paperdoc</cp:lastModifiedBy>
  <dcterms:created xsi:type="dcterms:W3CDTF">2026-08-22T16:36:00Z</dcterms:created>
  <dcterms:modified xsi:type="dcterms:W3CDTF">2026-08-22T16:36:00Z</dcterms:modified>
</cp:coreProperties>
</file>